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245"/>
      </w:tblGrid>
      <w:tr w:rsidR="006D7643" w:rsidTr="00D54F1F">
        <w:tc>
          <w:tcPr>
            <w:tcW w:w="5103" w:type="dxa"/>
          </w:tcPr>
          <w:p w:rsidR="006D7643" w:rsidRPr="00B82699" w:rsidRDefault="006D7643" w:rsidP="00B82699">
            <w:pPr>
              <w:jc w:val="center"/>
              <w:rPr>
                <w:sz w:val="24"/>
                <w:szCs w:val="24"/>
              </w:rPr>
            </w:pPr>
            <w:r w:rsidRPr="00B82699">
              <w:rPr>
                <w:sz w:val="24"/>
                <w:szCs w:val="24"/>
              </w:rPr>
              <w:t>TỔNG LIÊN ĐOÀN LAO ĐỘNG VIỆT NAM</w:t>
            </w:r>
          </w:p>
          <w:p w:rsidR="006D7643" w:rsidRPr="00B82699" w:rsidRDefault="006D7643" w:rsidP="00B82699">
            <w:pPr>
              <w:jc w:val="center"/>
              <w:rPr>
                <w:b/>
                <w:sz w:val="26"/>
                <w:szCs w:val="26"/>
              </w:rPr>
            </w:pPr>
            <w:r w:rsidRPr="00B82699">
              <w:rPr>
                <w:b/>
                <w:sz w:val="26"/>
                <w:szCs w:val="26"/>
              </w:rPr>
              <w:t>CÔNG ĐOÀN VIÊN CHỨC VIỆT NAM</w:t>
            </w:r>
          </w:p>
          <w:p w:rsidR="006D7643" w:rsidRDefault="00CA56CD" w:rsidP="00B82699">
            <w:pPr>
              <w:jc w:val="center"/>
            </w:pPr>
            <w:r w:rsidRPr="00CA56CD">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3.55pt;margin-top:.55pt;width:219.75pt;height:0;z-index:251658240" o:connectortype="straight"/>
              </w:pict>
            </w:r>
          </w:p>
          <w:p w:rsidR="006D7643" w:rsidRDefault="006D7643" w:rsidP="00B82699">
            <w:pPr>
              <w:jc w:val="center"/>
            </w:pPr>
            <w:r>
              <w:t xml:space="preserve">Số: </w:t>
            </w:r>
            <w:r w:rsidR="00426D7E">
              <w:t>19</w:t>
            </w:r>
            <w:r>
              <w:t>/CĐVC</w:t>
            </w:r>
          </w:p>
          <w:p w:rsidR="0083705A" w:rsidRDefault="0083705A" w:rsidP="0083705A">
            <w:pPr>
              <w:jc w:val="center"/>
              <w:rPr>
                <w:i/>
                <w:sz w:val="24"/>
                <w:szCs w:val="24"/>
              </w:rPr>
            </w:pPr>
            <w:r>
              <w:rPr>
                <w:i/>
                <w:sz w:val="24"/>
                <w:szCs w:val="24"/>
              </w:rPr>
              <w:t>“</w:t>
            </w:r>
            <w:r w:rsidR="006D7643" w:rsidRPr="00B82699">
              <w:rPr>
                <w:i/>
                <w:sz w:val="24"/>
                <w:szCs w:val="24"/>
              </w:rPr>
              <w:t xml:space="preserve">V/v </w:t>
            </w:r>
            <w:r w:rsidR="008E69C3">
              <w:rPr>
                <w:i/>
                <w:sz w:val="24"/>
                <w:szCs w:val="24"/>
              </w:rPr>
              <w:t xml:space="preserve">triển khai </w:t>
            </w:r>
            <w:r>
              <w:rPr>
                <w:i/>
                <w:sz w:val="24"/>
                <w:szCs w:val="24"/>
              </w:rPr>
              <w:t>nhiệm vụ trọng tâm</w:t>
            </w:r>
          </w:p>
          <w:p w:rsidR="006D7643" w:rsidRPr="00B82699" w:rsidRDefault="0083705A" w:rsidP="0083705A">
            <w:pPr>
              <w:jc w:val="center"/>
              <w:rPr>
                <w:i/>
                <w:sz w:val="24"/>
                <w:szCs w:val="24"/>
              </w:rPr>
            </w:pPr>
            <w:r>
              <w:rPr>
                <w:i/>
                <w:sz w:val="24"/>
                <w:szCs w:val="24"/>
              </w:rPr>
              <w:t xml:space="preserve"> công tác tuyên giáo công đoàn</w:t>
            </w:r>
            <w:r w:rsidR="008E69C3">
              <w:rPr>
                <w:i/>
                <w:sz w:val="24"/>
                <w:szCs w:val="24"/>
              </w:rPr>
              <w:t xml:space="preserve"> năm 201</w:t>
            </w:r>
            <w:r>
              <w:rPr>
                <w:i/>
                <w:sz w:val="24"/>
                <w:szCs w:val="24"/>
              </w:rPr>
              <w:t>7”</w:t>
            </w:r>
          </w:p>
        </w:tc>
        <w:tc>
          <w:tcPr>
            <w:tcW w:w="5245" w:type="dxa"/>
          </w:tcPr>
          <w:p w:rsidR="006D7643" w:rsidRPr="00B82699" w:rsidRDefault="006D7643" w:rsidP="00B82699">
            <w:pPr>
              <w:jc w:val="center"/>
              <w:rPr>
                <w:b/>
                <w:sz w:val="24"/>
                <w:szCs w:val="24"/>
              </w:rPr>
            </w:pPr>
            <w:r w:rsidRPr="00B82699">
              <w:rPr>
                <w:b/>
                <w:sz w:val="24"/>
                <w:szCs w:val="24"/>
              </w:rPr>
              <w:t>CỘNG HÒA XÃ HỘI CHỦ NGHĨA VIỆT NAM</w:t>
            </w:r>
          </w:p>
          <w:p w:rsidR="006D7643" w:rsidRPr="00B82699" w:rsidRDefault="006D7643" w:rsidP="00B82699">
            <w:pPr>
              <w:jc w:val="center"/>
              <w:rPr>
                <w:b/>
              </w:rPr>
            </w:pPr>
            <w:r w:rsidRPr="00B82699">
              <w:rPr>
                <w:b/>
              </w:rPr>
              <w:t>Độc lập – Tự do – Hạnh phúc</w:t>
            </w:r>
          </w:p>
          <w:p w:rsidR="006D7643" w:rsidRDefault="00CA56CD" w:rsidP="00B82699">
            <w:pPr>
              <w:jc w:val="center"/>
            </w:pPr>
            <w:r>
              <w:rPr>
                <w:noProof/>
              </w:rPr>
              <w:pict>
                <v:shape id="_x0000_s1027" type="#_x0000_t32" style="position:absolute;left:0;text-align:left;margin-left:36.65pt;margin-top:.6pt;width:179.25pt;height:0;z-index:251659264" o:connectortype="straight"/>
              </w:pict>
            </w:r>
          </w:p>
          <w:p w:rsidR="006D7643" w:rsidRDefault="006D7643" w:rsidP="00B82699">
            <w:pPr>
              <w:jc w:val="center"/>
            </w:pPr>
          </w:p>
          <w:p w:rsidR="00B82699" w:rsidRDefault="00B82699" w:rsidP="00B82699">
            <w:pPr>
              <w:jc w:val="center"/>
            </w:pPr>
          </w:p>
          <w:p w:rsidR="006D7643" w:rsidRPr="00391ED4" w:rsidRDefault="006D7643" w:rsidP="00426D7E">
            <w:pPr>
              <w:jc w:val="center"/>
              <w:rPr>
                <w:i/>
              </w:rPr>
            </w:pPr>
            <w:r w:rsidRPr="00391ED4">
              <w:rPr>
                <w:i/>
              </w:rPr>
              <w:t>Hà Nội, ngày</w:t>
            </w:r>
            <w:r w:rsidR="008E69C3">
              <w:rPr>
                <w:i/>
              </w:rPr>
              <w:t xml:space="preserve"> </w:t>
            </w:r>
            <w:r w:rsidR="00426D7E">
              <w:rPr>
                <w:i/>
              </w:rPr>
              <w:t xml:space="preserve"> 6 </w:t>
            </w:r>
            <w:r w:rsidR="0083705A">
              <w:rPr>
                <w:i/>
              </w:rPr>
              <w:t xml:space="preserve"> tháng </w:t>
            </w:r>
            <w:r w:rsidR="00426D7E">
              <w:rPr>
                <w:i/>
              </w:rPr>
              <w:t>2</w:t>
            </w:r>
            <w:r w:rsidR="00037979">
              <w:rPr>
                <w:i/>
              </w:rPr>
              <w:t xml:space="preserve"> </w:t>
            </w:r>
            <w:r w:rsidRPr="00391ED4">
              <w:rPr>
                <w:i/>
              </w:rPr>
              <w:t>năm 201</w:t>
            </w:r>
            <w:r w:rsidR="004542BD">
              <w:rPr>
                <w:i/>
              </w:rPr>
              <w:t>7</w:t>
            </w:r>
          </w:p>
        </w:tc>
      </w:tr>
    </w:tbl>
    <w:p w:rsidR="0083705A" w:rsidRDefault="0083705A" w:rsidP="00391ED4">
      <w:pPr>
        <w:spacing w:after="0" w:line="240" w:lineRule="auto"/>
        <w:jc w:val="center"/>
      </w:pPr>
    </w:p>
    <w:p w:rsidR="0083705A" w:rsidRDefault="0083705A" w:rsidP="00391ED4">
      <w:pPr>
        <w:spacing w:after="0" w:line="240" w:lineRule="auto"/>
        <w:jc w:val="center"/>
      </w:pPr>
    </w:p>
    <w:p w:rsidR="006D7643" w:rsidRDefault="0083705A" w:rsidP="0083705A">
      <w:pPr>
        <w:spacing w:after="0" w:line="240" w:lineRule="auto"/>
        <w:jc w:val="both"/>
        <w:rPr>
          <w:b/>
        </w:rPr>
      </w:pPr>
      <w:r>
        <w:tab/>
      </w:r>
      <w:r>
        <w:tab/>
      </w:r>
      <w:r w:rsidR="006D7643" w:rsidRPr="00B82699">
        <w:rPr>
          <w:b/>
          <w:i/>
        </w:rPr>
        <w:t>Kính gửi:</w:t>
      </w:r>
      <w:r w:rsidR="006D7643">
        <w:t xml:space="preserve">  </w:t>
      </w:r>
      <w:r w:rsidR="00703725">
        <w:rPr>
          <w:b/>
        </w:rPr>
        <w:t xml:space="preserve">Các </w:t>
      </w:r>
      <w:r>
        <w:rPr>
          <w:b/>
        </w:rPr>
        <w:t>C</w:t>
      </w:r>
      <w:r w:rsidR="006D7643" w:rsidRPr="00B82699">
        <w:rPr>
          <w:b/>
        </w:rPr>
        <w:t>ông đoàn trực thuộc</w:t>
      </w:r>
    </w:p>
    <w:p w:rsidR="00746038" w:rsidRDefault="00746038" w:rsidP="00746038">
      <w:pPr>
        <w:spacing w:after="0"/>
        <w:rPr>
          <w:b/>
        </w:rPr>
      </w:pPr>
    </w:p>
    <w:p w:rsidR="0083705A" w:rsidRDefault="00B51284" w:rsidP="00C12997">
      <w:pPr>
        <w:spacing w:before="120" w:after="0" w:line="400" w:lineRule="exact"/>
        <w:jc w:val="both"/>
      </w:pPr>
      <w:r>
        <w:tab/>
      </w:r>
      <w:r w:rsidR="0083705A">
        <w:t>Năm 2017, là năm thứ hai thực hiện Nghị quyết Đại hội XII của Đảng; là năm tổ chức Công đoàn Việt Nam đẩy mạnh việc đổi mới, chuẩn bị các điều kiện cần thiết để hội nhập hiệu quả, đồng thời triển khai kế hoạch tổ chức đại hội Công đoàn các cấp tiến tới Đại hội V Công đoàn Viên chức Việt Nam và Đại hội Công đoàn Việt Nam lần thứ XII (nhiệm kỳ 2018 – 2023)</w:t>
      </w:r>
      <w:r>
        <w:t>; thực hiện sự chỉ đạo của Tổng Liên đoàn Lao động Việt Nam chọn chủ đề hoạt động công đoàn năm 2017 là “Năm vì lợi ích đoàn viên” và Công văn số 2008/TLĐ ngày 16 tháng 12 năm 2016 về việc triển khai nhiệm vụ trọng tâm công tác Tuyên giáo Công đoàn năm 2017, Công đoàn Viên chức Việt Nam đề nghị các cấp công đoàn tập trung vào một số nhiệm vụ trọng tâm như sau:</w:t>
      </w:r>
    </w:p>
    <w:p w:rsidR="00B51284" w:rsidRPr="00DB7912" w:rsidRDefault="00B51284" w:rsidP="00C12997">
      <w:pPr>
        <w:spacing w:before="120" w:after="0" w:line="400" w:lineRule="exact"/>
        <w:jc w:val="both"/>
        <w:rPr>
          <w:spacing w:val="-2"/>
        </w:rPr>
      </w:pPr>
      <w:r>
        <w:tab/>
      </w:r>
      <w:r w:rsidRPr="00DB7912">
        <w:rPr>
          <w:spacing w:val="-2"/>
        </w:rPr>
        <w:t>1. Tuyên truyền các chủ trương, đường lối của Đảng đến cán bộ, công chức, viên chức, lao động (CBCCVCLĐ)</w:t>
      </w:r>
      <w:r w:rsidR="002F7DC0" w:rsidRPr="00DB7912">
        <w:rPr>
          <w:spacing w:val="-2"/>
        </w:rPr>
        <w:t xml:space="preserve"> và</w:t>
      </w:r>
      <w:r w:rsidRPr="00DB7912">
        <w:rPr>
          <w:spacing w:val="-2"/>
        </w:rPr>
        <w:t xml:space="preserve"> đoàn viên công đoàn</w:t>
      </w:r>
      <w:r w:rsidR="002F7DC0" w:rsidRPr="00DB7912">
        <w:rPr>
          <w:spacing w:val="-2"/>
        </w:rPr>
        <w:t>, trong đó trọng tâm là công tác triển khai Nghị quyết Đại hội XII của Đảng, Chương trình hành động của Tổng Liên đoàn Lao động Việt Nam và Công đoàn Viên chức Việt Nam thực hiện Nghị quyết. Tổ chức quán triệt, tuyên truyền các Nghị quyết Hội nghị Ban chấp hành Trung ương Đảng lần thứ 4 (Khóa XII), đặc biệt là nội dung Nghị quyết số 06-NQ/TW về đổi mới tổ chức, hoạt động của tổ chức Công đoàn.</w:t>
      </w:r>
    </w:p>
    <w:p w:rsidR="002F7DC0" w:rsidRDefault="002F7DC0" w:rsidP="00C12997">
      <w:pPr>
        <w:spacing w:before="120" w:after="0" w:line="400" w:lineRule="exact"/>
        <w:jc w:val="both"/>
      </w:pPr>
      <w:r>
        <w:tab/>
        <w:t xml:space="preserve">2. </w:t>
      </w:r>
      <w:r w:rsidR="004B3C5C">
        <w:t>Nâng cao chất lượng công tác giáo dục chính trị, tư tưởng cho CBCCVCLĐ, đoàn viên công đoàn về ý nghĩa, vai trò, tầm quan trọng và sự cần thiết của việc học tập, nghiên cứu, vận dụng sáng tạo và phát triển chủ nghĩa Mác – Lênin, tư tưởng Hồ Chí Minh. Xây dựng và củng cố mạng lưới nắm bắt dư luận xã hội trong CBCCVCLĐ, đoàn viên công đoàn</w:t>
      </w:r>
      <w:r w:rsidR="00582335">
        <w:t xml:space="preserve">; nắm bắt và phản ánh kịp thời diễn biến tình hình tâm trạng, tư tưởng của CBCCVCLĐ, đoàn viên công đoàn. Triển khai các hướng dẫn của Công đoàn Viên chức Việt Nam về thực hiện Chỉ thị 05 – CT/TW ngày 15/5/2016 của Bộ Chính trị về đẩy mạnh học tập và làm theo tư tưởng, đạo đức, phong cách Hồ Chí Minh, nhất là những bài học về Bác Hồ với CBCCVCLĐ và tổ chức Công đoàn. Tăng cường tham gia xây dựng Đảng, </w:t>
      </w:r>
      <w:r w:rsidR="00AF2E12">
        <w:t>cơ quan, đơn vị</w:t>
      </w:r>
      <w:r w:rsidR="00582335">
        <w:t xml:space="preserve"> trong sạch, vững mạnh.</w:t>
      </w:r>
    </w:p>
    <w:p w:rsidR="00582335" w:rsidRDefault="00582335" w:rsidP="00C12997">
      <w:pPr>
        <w:spacing w:before="120" w:after="0" w:line="400" w:lineRule="exact"/>
        <w:jc w:val="both"/>
      </w:pPr>
      <w:r>
        <w:lastRenderedPageBreak/>
        <w:tab/>
        <w:t>3. Phát động và triển khai hiệu quả Tháng Công nhân năm 2017</w:t>
      </w:r>
      <w:r w:rsidR="00D81E66">
        <w:t xml:space="preserve"> theo Kế hoạch số</w:t>
      </w:r>
      <w:r w:rsidR="00D345D7">
        <w:t xml:space="preserve"> 10</w:t>
      </w:r>
      <w:r w:rsidR="00D81E66">
        <w:t xml:space="preserve">/KH-CĐVC ngày </w:t>
      </w:r>
      <w:r w:rsidR="00D345D7">
        <w:t>16</w:t>
      </w:r>
      <w:r w:rsidR="00D81E66">
        <w:t>/</w:t>
      </w:r>
      <w:r w:rsidR="00D345D7">
        <w:t>1</w:t>
      </w:r>
      <w:r w:rsidR="00D81E66">
        <w:t>/2017</w:t>
      </w:r>
      <w:r>
        <w:t xml:space="preserve"> </w:t>
      </w:r>
      <w:r w:rsidR="00D81E66">
        <w:t xml:space="preserve">về việc tổ chức Tháng Công nhân năm 2017 </w:t>
      </w:r>
      <w:r>
        <w:t>với những hoạt động thiết thực vì lợi ích đoàn viên, trong đó cần tham mưu với cấp ủy Đảng, phối hợp với chính quyền và thủ trưởng các cơ quan, đơn vị huy động mọi nguồn lực để quan tâm chăm lo cho CBCCVCLĐ, đặc biệt là những đoàn viên có hoàn cảnh khó khăn, gia đình chính sách</w:t>
      </w:r>
      <w:r w:rsidR="00F46B03">
        <w:t>.</w:t>
      </w:r>
    </w:p>
    <w:p w:rsidR="00F46B03" w:rsidRDefault="00F46B03" w:rsidP="00C12997">
      <w:pPr>
        <w:spacing w:before="120" w:after="0" w:line="400" w:lineRule="exact"/>
        <w:jc w:val="both"/>
      </w:pPr>
      <w:r>
        <w:tab/>
        <w:t>4. Tuyên truyền về Đai hội Công đoàn các cấp tiến tới Đại hội V Công đoàn Viên chức Việt Nam và Đại hội Công đoàn Việt Nam lần thứ XII.</w:t>
      </w:r>
    </w:p>
    <w:p w:rsidR="00F46B03" w:rsidRDefault="00F46B03" w:rsidP="00C12997">
      <w:pPr>
        <w:spacing w:before="120" w:after="0" w:line="400" w:lineRule="exact"/>
        <w:jc w:val="both"/>
      </w:pPr>
      <w:r>
        <w:tab/>
        <w:t>5. Vận động CBCCVCLĐ, đoàn viên công đoàn tích cực học tập, nâng cao trình độ chính trị, văn hóa, chuyên môn, kỹ năng nghề nghiệp, ý thức chấp hành pháp luật, nội quy, quy chế của cơ quan, đơn vị nhằm hoàn thành các chỉ tiêu Chương trình “Nâng cao trình độ, kỹ năng nghề nghiệp cho đoàn viên và người lao động”.</w:t>
      </w:r>
    </w:p>
    <w:p w:rsidR="00F46B03" w:rsidRDefault="00F46B03" w:rsidP="00C12997">
      <w:pPr>
        <w:spacing w:before="120" w:after="0" w:line="400" w:lineRule="exact"/>
        <w:jc w:val="both"/>
      </w:pPr>
      <w:r>
        <w:tab/>
        <w:t>6. Tiếp tục triển khai công tác xây dựng đời sống văn hóa cơ sở gắn với phong trào “Xây dựng cơ quan văn hóa, ngày làm việc 8 giờ có chất lượng, hiệu quả</w:t>
      </w:r>
      <w:r w:rsidR="004C6D8A">
        <w:t xml:space="preserve">”. Chủ động tham gia với chính quyền, lãnh đạo </w:t>
      </w:r>
      <w:r w:rsidR="00D81E66">
        <w:t xml:space="preserve">cơ quan, đơn vị và xã hội hóa để </w:t>
      </w:r>
      <w:r w:rsidR="004C6D8A">
        <w:t xml:space="preserve"> xây dựng các thiết chế phục vụ nhu cầu nâng cao đời sống tinh thần cho CBCCVCLĐ, đoàn viên công đoàn. Tiếp tục triển khai có hiệu quả công tác khen thưởng chuyên đề văn hóa, thể thao góp phần thúc đẩy công tác xây dựng đời sống văn hóa trong CBCCVCLĐ.</w:t>
      </w:r>
    </w:p>
    <w:p w:rsidR="004C6D8A" w:rsidRDefault="004C6D8A" w:rsidP="00C12997">
      <w:pPr>
        <w:spacing w:before="120" w:after="0" w:line="400" w:lineRule="exact"/>
        <w:jc w:val="both"/>
      </w:pPr>
      <w:r>
        <w:tab/>
        <w:t>7. Đổi mới hình thức, nội dung công tác thông tin, tuyên truyền chủ trương, đường lối của Đảng, chính sách pháp luật của Nhà nước, đẩy mạnh các hoạt động truyền thông, tuyên truyền về các phong trào thi đua và hoạt động công đoàn. Tích cực triển khai thực hiện Chỉ thị 01/CT-TLĐ, ngày 06/01/2014 của Đoàn Chủ tịch Tổng Liên đoàn Lao động Việt Nam về “Nâng cao chất lượng, hiệu quả hoạt động báo chí, xuất bản của tổ chức Công đoàn”</w:t>
      </w:r>
    </w:p>
    <w:p w:rsidR="004C6D8A" w:rsidRDefault="004C6D8A" w:rsidP="00C12997">
      <w:pPr>
        <w:spacing w:before="120" w:after="0" w:line="400" w:lineRule="exact"/>
        <w:jc w:val="both"/>
      </w:pPr>
      <w:r>
        <w:tab/>
        <w:t xml:space="preserve">8. Tiếp tục triển khai công tác thông tin, tuyên truyền phòng chống HIV/AIDS, tội phạm, ma túy, mại dâm; </w:t>
      </w:r>
      <w:r w:rsidR="000D7A40">
        <w:t>phòng chống tác hại thuốc lá, xây dựng môi trường làm việc không khói thuốc và tuyên truyền về an toàn giao thông, văn hóa khi tham gia giao thông nhằm phòng ngừa các tệ nạn xã hội, tai nạn giao thông, thiết thực chăm lo, bảo vệ tính mạng và sức khỏe của CBCCVCLĐ, đoàn viên công đoàn.</w:t>
      </w:r>
    </w:p>
    <w:p w:rsidR="00D81E66" w:rsidRDefault="00D81E66" w:rsidP="00C12997">
      <w:pPr>
        <w:spacing w:before="120" w:after="0" w:line="400" w:lineRule="exact"/>
        <w:jc w:val="both"/>
      </w:pPr>
      <w:r>
        <w:tab/>
        <w:t xml:space="preserve">9. Chủ động tham mưu với cấp ủy trong tổng kết, đánh giá 10 năm thực hiện Nghị quyết số 20-NQ/TW của Ban Chấp hành Trung ương Đảng (Khóa X) về “Tiếp tục xây dựng giai cấp công nhân Việt Nam thời kỳ đẩy mạnh công </w:t>
      </w:r>
      <w:r>
        <w:lastRenderedPageBreak/>
        <w:t>nghiệp hóa, hiện đại hóa đất nước” và xây dựng các nội dung thực hiện Nghị quyết trong giai đoạn tiếp theo.</w:t>
      </w:r>
    </w:p>
    <w:p w:rsidR="00E250A4" w:rsidRDefault="000D7A40" w:rsidP="00C12997">
      <w:pPr>
        <w:spacing w:before="120" w:after="0" w:line="400" w:lineRule="exact"/>
        <w:jc w:val="both"/>
      </w:pPr>
      <w:r>
        <w:tab/>
        <w:t>Công đoàn Viên chức Việt Nam đề nghị các cấp công đoàn căn cứ định hướng công t</w:t>
      </w:r>
      <w:r w:rsidR="00D81E66">
        <w:t>ác Tuyên giáo Công đoàn năm 2017,</w:t>
      </w:r>
      <w:r>
        <w:t xml:space="preserve"> cụ thể hóa vào nội dung chương trình công tác cho phù hợp với thực tiễn của cơ quan, đơn vị và định kỳ báo cáo kết quả về Công đoàn Viên chức Việt Nam (qua Ban Tuyên giáo).</w:t>
      </w:r>
    </w:p>
    <w:p w:rsidR="000D7A40" w:rsidRDefault="000D7A40" w:rsidP="000D7A40">
      <w:pPr>
        <w:spacing w:before="120" w:after="0" w:line="400" w:lineRule="exact"/>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4"/>
        <w:gridCol w:w="4654"/>
      </w:tblGrid>
      <w:tr w:rsidR="00B82699" w:rsidTr="00E250A4">
        <w:tc>
          <w:tcPr>
            <w:tcW w:w="4755" w:type="dxa"/>
          </w:tcPr>
          <w:p w:rsidR="00B82699" w:rsidRPr="00B82699" w:rsidRDefault="00B82699">
            <w:pPr>
              <w:rPr>
                <w:b/>
                <w:i/>
                <w:sz w:val="24"/>
                <w:szCs w:val="24"/>
              </w:rPr>
            </w:pPr>
            <w:r w:rsidRPr="00B82699">
              <w:rPr>
                <w:b/>
                <w:i/>
                <w:sz w:val="24"/>
                <w:szCs w:val="24"/>
              </w:rPr>
              <w:t>Nơi nhận:</w:t>
            </w:r>
          </w:p>
          <w:p w:rsidR="003A5CDD" w:rsidRDefault="00B82699">
            <w:pPr>
              <w:rPr>
                <w:sz w:val="24"/>
                <w:szCs w:val="24"/>
              </w:rPr>
            </w:pPr>
            <w:r w:rsidRPr="00B82699">
              <w:rPr>
                <w:sz w:val="24"/>
                <w:szCs w:val="24"/>
              </w:rPr>
              <w:t xml:space="preserve">- </w:t>
            </w:r>
            <w:r w:rsidR="000D7A40">
              <w:rPr>
                <w:sz w:val="24"/>
                <w:szCs w:val="24"/>
              </w:rPr>
              <w:t>Ban Tuyên giáo TLĐ LĐVN</w:t>
            </w:r>
            <w:r w:rsidR="003A5CDD">
              <w:rPr>
                <w:sz w:val="24"/>
                <w:szCs w:val="24"/>
              </w:rPr>
              <w:t xml:space="preserve"> (để b/c);</w:t>
            </w:r>
          </w:p>
          <w:p w:rsidR="003A5CDD" w:rsidRDefault="003A5CDD">
            <w:pPr>
              <w:rPr>
                <w:sz w:val="24"/>
                <w:szCs w:val="24"/>
              </w:rPr>
            </w:pPr>
            <w:r>
              <w:rPr>
                <w:sz w:val="24"/>
                <w:szCs w:val="24"/>
              </w:rPr>
              <w:t>- Thường trực BTV (để b/c);</w:t>
            </w:r>
          </w:p>
          <w:p w:rsidR="00B82699" w:rsidRPr="00B82699" w:rsidRDefault="003A5CDD">
            <w:pPr>
              <w:rPr>
                <w:sz w:val="24"/>
                <w:szCs w:val="24"/>
              </w:rPr>
            </w:pPr>
            <w:r>
              <w:rPr>
                <w:sz w:val="24"/>
                <w:szCs w:val="24"/>
              </w:rPr>
              <w:t xml:space="preserve">- </w:t>
            </w:r>
            <w:r w:rsidR="00B82699" w:rsidRPr="00B82699">
              <w:rPr>
                <w:sz w:val="24"/>
                <w:szCs w:val="24"/>
              </w:rPr>
              <w:t xml:space="preserve">Như </w:t>
            </w:r>
            <w:r>
              <w:rPr>
                <w:sz w:val="24"/>
                <w:szCs w:val="24"/>
              </w:rPr>
              <w:t>kính gửi</w:t>
            </w:r>
            <w:r w:rsidR="00B82699" w:rsidRPr="00B82699">
              <w:rPr>
                <w:sz w:val="24"/>
                <w:szCs w:val="24"/>
              </w:rPr>
              <w:t>;</w:t>
            </w:r>
          </w:p>
          <w:p w:rsidR="00B82699" w:rsidRDefault="00B82699" w:rsidP="000D7A40">
            <w:r w:rsidRPr="00B82699">
              <w:rPr>
                <w:sz w:val="24"/>
                <w:szCs w:val="24"/>
              </w:rPr>
              <w:t>- Lưu V</w:t>
            </w:r>
            <w:r w:rsidR="000D7A40">
              <w:rPr>
                <w:sz w:val="24"/>
                <w:szCs w:val="24"/>
              </w:rPr>
              <w:t>T</w:t>
            </w:r>
            <w:r w:rsidRPr="00B82699">
              <w:rPr>
                <w:sz w:val="24"/>
                <w:szCs w:val="24"/>
              </w:rPr>
              <w:t>, TG.</w:t>
            </w:r>
          </w:p>
        </w:tc>
        <w:tc>
          <w:tcPr>
            <w:tcW w:w="4760" w:type="dxa"/>
          </w:tcPr>
          <w:p w:rsidR="00B82699" w:rsidRPr="00BA2B99" w:rsidRDefault="00B82699" w:rsidP="00BA2B99">
            <w:pPr>
              <w:jc w:val="center"/>
              <w:rPr>
                <w:b/>
              </w:rPr>
            </w:pPr>
            <w:r w:rsidRPr="00BA2B99">
              <w:rPr>
                <w:b/>
              </w:rPr>
              <w:t>TM. BAN THƯỜNG VỤ</w:t>
            </w:r>
          </w:p>
          <w:p w:rsidR="00B82699" w:rsidRPr="00BA2B99" w:rsidRDefault="00B82699" w:rsidP="00BA2B99">
            <w:pPr>
              <w:jc w:val="center"/>
              <w:rPr>
                <w:b/>
              </w:rPr>
            </w:pPr>
            <w:r w:rsidRPr="00BA2B99">
              <w:rPr>
                <w:b/>
              </w:rPr>
              <w:t>PHÓ CHỦ TỊCH</w:t>
            </w:r>
          </w:p>
          <w:p w:rsidR="00B82699" w:rsidRPr="00BA2B99" w:rsidRDefault="00B82699" w:rsidP="00BA2B99">
            <w:pPr>
              <w:jc w:val="center"/>
              <w:rPr>
                <w:b/>
              </w:rPr>
            </w:pPr>
          </w:p>
          <w:p w:rsidR="00B82699" w:rsidRDefault="00B82699" w:rsidP="00BA2B99">
            <w:pPr>
              <w:jc w:val="center"/>
              <w:rPr>
                <w:b/>
              </w:rPr>
            </w:pPr>
          </w:p>
          <w:p w:rsidR="00BA2B99" w:rsidRPr="00BA2B99" w:rsidRDefault="00426D7E" w:rsidP="00BA2B99">
            <w:pPr>
              <w:jc w:val="center"/>
              <w:rPr>
                <w:b/>
              </w:rPr>
            </w:pPr>
            <w:r>
              <w:rPr>
                <w:b/>
              </w:rPr>
              <w:t>(Đã ký)</w:t>
            </w:r>
          </w:p>
          <w:p w:rsidR="00B82699" w:rsidRPr="00BA2B99" w:rsidRDefault="00B82699" w:rsidP="00BA2B99">
            <w:pPr>
              <w:jc w:val="center"/>
              <w:rPr>
                <w:b/>
              </w:rPr>
            </w:pPr>
          </w:p>
          <w:p w:rsidR="00B82699" w:rsidRPr="00BA2B99" w:rsidRDefault="00B82699" w:rsidP="00BA2B99">
            <w:pPr>
              <w:jc w:val="center"/>
              <w:rPr>
                <w:b/>
              </w:rPr>
            </w:pPr>
          </w:p>
          <w:p w:rsidR="00B82699" w:rsidRDefault="00B82699" w:rsidP="00BA2B99">
            <w:pPr>
              <w:jc w:val="center"/>
            </w:pPr>
            <w:r w:rsidRPr="00BA2B99">
              <w:rPr>
                <w:b/>
              </w:rPr>
              <w:t>Phan Phương Hạnh</w:t>
            </w:r>
          </w:p>
        </w:tc>
      </w:tr>
    </w:tbl>
    <w:p w:rsidR="006D7643" w:rsidRDefault="006D7643"/>
    <w:sectPr w:rsidR="006D7643" w:rsidSect="000D7A40">
      <w:footerReference w:type="default" r:id="rId7"/>
      <w:pgSz w:w="11907" w:h="16840" w:code="9"/>
      <w:pgMar w:top="964" w:right="1021" w:bottom="397" w:left="1814" w:header="0"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B0D" w:rsidRDefault="004D1B0D" w:rsidP="00B82699">
      <w:pPr>
        <w:spacing w:after="0" w:line="240" w:lineRule="auto"/>
      </w:pPr>
      <w:r>
        <w:separator/>
      </w:r>
    </w:p>
  </w:endnote>
  <w:endnote w:type="continuationSeparator" w:id="1">
    <w:p w:rsidR="004D1B0D" w:rsidRDefault="004D1B0D" w:rsidP="00B82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922"/>
      <w:docPartObj>
        <w:docPartGallery w:val="Page Numbers (Bottom of Page)"/>
        <w:docPartUnique/>
      </w:docPartObj>
    </w:sdtPr>
    <w:sdtContent>
      <w:p w:rsidR="00DB7912" w:rsidRDefault="00CA56CD">
        <w:pPr>
          <w:pStyle w:val="Footer"/>
          <w:jc w:val="center"/>
        </w:pPr>
        <w:fldSimple w:instr=" PAGE   \* MERGEFORMAT ">
          <w:r w:rsidR="00426D7E">
            <w:rPr>
              <w:noProof/>
            </w:rPr>
            <w:t>3</w:t>
          </w:r>
        </w:fldSimple>
      </w:p>
    </w:sdtContent>
  </w:sdt>
  <w:p w:rsidR="00DB7912" w:rsidRDefault="00DB7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B0D" w:rsidRDefault="004D1B0D" w:rsidP="00B82699">
      <w:pPr>
        <w:spacing w:after="0" w:line="240" w:lineRule="auto"/>
      </w:pPr>
      <w:r>
        <w:separator/>
      </w:r>
    </w:p>
  </w:footnote>
  <w:footnote w:type="continuationSeparator" w:id="1">
    <w:p w:rsidR="004D1B0D" w:rsidRDefault="004D1B0D" w:rsidP="00B826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D7643"/>
    <w:rsid w:val="000131CA"/>
    <w:rsid w:val="00037390"/>
    <w:rsid w:val="00037979"/>
    <w:rsid w:val="00046644"/>
    <w:rsid w:val="00050A3C"/>
    <w:rsid w:val="000933E3"/>
    <w:rsid w:val="000B3F58"/>
    <w:rsid w:val="000D7A40"/>
    <w:rsid w:val="000F4EA7"/>
    <w:rsid w:val="00121772"/>
    <w:rsid w:val="00145EF1"/>
    <w:rsid w:val="001D111D"/>
    <w:rsid w:val="002F7DC0"/>
    <w:rsid w:val="00345A8D"/>
    <w:rsid w:val="00391ED4"/>
    <w:rsid w:val="00393E4B"/>
    <w:rsid w:val="003A5CDD"/>
    <w:rsid w:val="003D74F2"/>
    <w:rsid w:val="00426D7E"/>
    <w:rsid w:val="00447AEB"/>
    <w:rsid w:val="004542BD"/>
    <w:rsid w:val="00464156"/>
    <w:rsid w:val="004B2918"/>
    <w:rsid w:val="004B3C5C"/>
    <w:rsid w:val="004C6D8A"/>
    <w:rsid w:val="004D1B0D"/>
    <w:rsid w:val="00532D23"/>
    <w:rsid w:val="00547D5B"/>
    <w:rsid w:val="00582335"/>
    <w:rsid w:val="005A726D"/>
    <w:rsid w:val="005E4523"/>
    <w:rsid w:val="006013D9"/>
    <w:rsid w:val="00604F78"/>
    <w:rsid w:val="00647F4F"/>
    <w:rsid w:val="006A6179"/>
    <w:rsid w:val="006A667A"/>
    <w:rsid w:val="006D7643"/>
    <w:rsid w:val="006E3039"/>
    <w:rsid w:val="006F0C95"/>
    <w:rsid w:val="00703725"/>
    <w:rsid w:val="00723C67"/>
    <w:rsid w:val="007240E7"/>
    <w:rsid w:val="0074061C"/>
    <w:rsid w:val="00746038"/>
    <w:rsid w:val="007832C9"/>
    <w:rsid w:val="007836C2"/>
    <w:rsid w:val="007C672F"/>
    <w:rsid w:val="00810D2E"/>
    <w:rsid w:val="0083705A"/>
    <w:rsid w:val="00862DA6"/>
    <w:rsid w:val="008B4A31"/>
    <w:rsid w:val="008C07F1"/>
    <w:rsid w:val="008E69C3"/>
    <w:rsid w:val="00900E97"/>
    <w:rsid w:val="009839D9"/>
    <w:rsid w:val="00997966"/>
    <w:rsid w:val="009A34C4"/>
    <w:rsid w:val="009D7800"/>
    <w:rsid w:val="00A06E3A"/>
    <w:rsid w:val="00A07177"/>
    <w:rsid w:val="00A3589B"/>
    <w:rsid w:val="00A97223"/>
    <w:rsid w:val="00AE0676"/>
    <w:rsid w:val="00AF2E12"/>
    <w:rsid w:val="00B51284"/>
    <w:rsid w:val="00B82699"/>
    <w:rsid w:val="00BA2B99"/>
    <w:rsid w:val="00BB4A76"/>
    <w:rsid w:val="00BF400A"/>
    <w:rsid w:val="00C12997"/>
    <w:rsid w:val="00CA56CD"/>
    <w:rsid w:val="00CD7287"/>
    <w:rsid w:val="00CF65C8"/>
    <w:rsid w:val="00D11E1C"/>
    <w:rsid w:val="00D257B1"/>
    <w:rsid w:val="00D32636"/>
    <w:rsid w:val="00D345D7"/>
    <w:rsid w:val="00D54F1F"/>
    <w:rsid w:val="00D62935"/>
    <w:rsid w:val="00D81E66"/>
    <w:rsid w:val="00DB7912"/>
    <w:rsid w:val="00DC6D1B"/>
    <w:rsid w:val="00E250A4"/>
    <w:rsid w:val="00E81E9A"/>
    <w:rsid w:val="00E8571F"/>
    <w:rsid w:val="00EF688A"/>
    <w:rsid w:val="00EF7B6D"/>
    <w:rsid w:val="00F15FFF"/>
    <w:rsid w:val="00F46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6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26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2699"/>
  </w:style>
  <w:style w:type="paragraph" w:styleId="Footer">
    <w:name w:val="footer"/>
    <w:basedOn w:val="Normal"/>
    <w:link w:val="FooterChar"/>
    <w:uiPriority w:val="99"/>
    <w:unhideWhenUsed/>
    <w:rsid w:val="00B82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6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D0CB-1B5C-48A6-9985-669FD1A2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 Unlimited</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2017-01-23T09:12:00Z</cp:lastPrinted>
  <dcterms:created xsi:type="dcterms:W3CDTF">2016-06-28T07:27:00Z</dcterms:created>
  <dcterms:modified xsi:type="dcterms:W3CDTF">2017-02-07T04:03:00Z</dcterms:modified>
</cp:coreProperties>
</file>